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Template and instruction sheet for information exchange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All fields are mandatory unless otherwise indicated</w:t>
      </w:r>
    </w:p>
    <w:p w:rsidR="00000000" w:rsidDel="00000000" w:rsidP="00000000" w:rsidRDefault="00000000" w:rsidRPr="00000000" w14:paraId="00000004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1. Ruling reference number, if any.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2. Identification of the taxpayer and where appropriate the group of companies to which it belongs.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4"/>
        <w:gridCol w:w="2441"/>
        <w:gridCol w:w="4765"/>
        <w:tblGridChange w:id="0">
          <w:tblGrid>
            <w:gridCol w:w="2144"/>
            <w:gridCol w:w="2441"/>
            <w:gridCol w:w="476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Taxpayer identification number (TIN) or other tax reference number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Legal name of the entity</w:t>
            </w:r>
          </w:p>
          <w:p w:rsidR="00000000" w:rsidDel="00000000" w:rsidP="00000000" w:rsidRDefault="00000000" w:rsidRPr="00000000" w14:paraId="0000000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Street</w:t>
            </w:r>
          </w:p>
          <w:p w:rsidR="00000000" w:rsidDel="00000000" w:rsidP="00000000" w:rsidRDefault="00000000" w:rsidRPr="00000000" w14:paraId="0000001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Building (optional)</w:t>
            </w:r>
          </w:p>
          <w:p w:rsidR="00000000" w:rsidDel="00000000" w:rsidP="00000000" w:rsidRDefault="00000000" w:rsidRPr="00000000" w14:paraId="0000001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Suite (optional)</w:t>
            </w:r>
          </w:p>
          <w:p w:rsidR="00000000" w:rsidDel="00000000" w:rsidP="00000000" w:rsidRDefault="00000000" w:rsidRPr="00000000" w14:paraId="0000001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Floor (optional)</w:t>
            </w:r>
          </w:p>
          <w:p w:rsidR="00000000" w:rsidDel="00000000" w:rsidP="00000000" w:rsidRDefault="00000000" w:rsidRPr="00000000" w14:paraId="0000002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District Name (optional)</w:t>
            </w:r>
          </w:p>
          <w:p w:rsidR="00000000" w:rsidDel="00000000" w:rsidP="00000000" w:rsidRDefault="00000000" w:rsidRPr="00000000" w14:paraId="0000002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Post Office Box (optional)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Post Code</w:t>
            </w:r>
          </w:p>
          <w:p w:rsidR="00000000" w:rsidDel="00000000" w:rsidP="00000000" w:rsidRDefault="00000000" w:rsidRPr="00000000" w14:paraId="0000002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3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Willemstad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3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Curacao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State/Province/Canton (optional)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Taxpayer’s main business activity (optional)</w:t>
            </w:r>
          </w:p>
          <w:p w:rsidR="00000000" w:rsidDel="00000000" w:rsidP="00000000" w:rsidRDefault="00000000" w:rsidRPr="00000000" w14:paraId="0000003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Name of multinational enterprise (MNE) group, if different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3. Date of issuance.</w:t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Palatino Linotype" w:cs="Palatino Linotype" w:eastAsia="Palatino Linotype" w:hAnsi="Palatino Linotype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45">
            <w:pPr>
              <w:rPr>
                <w:rFonts w:ascii="Palatino Linotype" w:cs="Palatino Linotype" w:eastAsia="Palatino Linotype" w:hAnsi="Palatino Linotype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4. Accounting periods/tax years covered by the ruling.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Palatino Linotype" w:cs="Palatino Linotype" w:eastAsia="Palatino Linotype" w:hAnsi="Palatino Linotype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z w:val="20"/>
                <w:szCs w:val="20"/>
                <w:rtl w:val="0"/>
              </w:rPr>
              <w:t xml:space="preserve">indefinite</w:t>
            </w:r>
          </w:p>
          <w:p w:rsidR="00000000" w:rsidDel="00000000" w:rsidP="00000000" w:rsidRDefault="00000000" w:rsidRPr="00000000" w14:paraId="00000049">
            <w:pPr>
              <w:rPr>
                <w:rFonts w:ascii="Palatino Linotype" w:cs="Palatino Linotype" w:eastAsia="Palatino Linotype" w:hAnsi="Palatino Linotype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5. Type of ruling issued. Please check the appropriate box.</w:t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57"/>
        <w:gridCol w:w="393"/>
        <w:tblGridChange w:id="0">
          <w:tblGrid>
            <w:gridCol w:w="8957"/>
            <w:gridCol w:w="3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Relating to preferential regime</w:t>
            </w:r>
          </w:p>
          <w:p w:rsidR="00000000" w:rsidDel="00000000" w:rsidP="00000000" w:rsidRDefault="00000000" w:rsidRPr="00000000" w14:paraId="0000004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Unilateral advance pricing arrangement (APA) or other transfer pricing (TP) ruling</w:t>
            </w:r>
          </w:p>
          <w:p w:rsidR="00000000" w:rsidDel="00000000" w:rsidP="00000000" w:rsidRDefault="00000000" w:rsidRPr="00000000" w14:paraId="0000005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Downward adjustment ruling</w:t>
            </w:r>
          </w:p>
          <w:p w:rsidR="00000000" w:rsidDel="00000000" w:rsidP="00000000" w:rsidRDefault="00000000" w:rsidRPr="00000000" w14:paraId="0000005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Permanent establishment (PE) ruling</w:t>
            </w:r>
          </w:p>
          <w:p w:rsidR="00000000" w:rsidDel="00000000" w:rsidP="00000000" w:rsidRDefault="00000000" w:rsidRPr="00000000" w14:paraId="0000005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Conduit ruling</w:t>
            </w:r>
          </w:p>
          <w:p w:rsidR="00000000" w:rsidDel="00000000" w:rsidP="00000000" w:rsidRDefault="00000000" w:rsidRPr="00000000" w14:paraId="0000006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Others, please specify:</w:t>
            </w:r>
          </w:p>
          <w:p w:rsidR="00000000" w:rsidDel="00000000" w:rsidP="00000000" w:rsidRDefault="00000000" w:rsidRPr="00000000" w14:paraId="0000006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…………………………………………………………………………………………………………………………………..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6. Additional information regarding the ruling and the taxpayer (optional).</w:t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Transaction amount, if any</w:t>
            </w:r>
          </w:p>
          <w:p w:rsidR="00000000" w:rsidDel="00000000" w:rsidP="00000000" w:rsidRDefault="00000000" w:rsidRPr="00000000" w14:paraId="0000006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Entity’s annual turnover</w:t>
            </w:r>
          </w:p>
          <w:p w:rsidR="00000000" w:rsidDel="00000000" w:rsidP="00000000" w:rsidRDefault="00000000" w:rsidRPr="00000000" w14:paraId="0000007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Profit of the entity</w:t>
            </w:r>
          </w:p>
          <w:p w:rsidR="00000000" w:rsidDel="00000000" w:rsidP="00000000" w:rsidRDefault="00000000" w:rsidRPr="00000000" w14:paraId="0000007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7. Short summary of the issue covered by the ruling ideally provided in one of the official languages of the Organisation for Economic Co-operation and Development (OECD) or other language bilaterally agreed. Where this is not possible this can be provided in the native language of the sending jurisdiction.</w:t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8. Reason for exchange with the recipient jurisdiction. </w:t>
      </w: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35"/>
        <w:gridCol w:w="1615"/>
        <w:tblGridChange w:id="0">
          <w:tblGrid>
            <w:gridCol w:w="7735"/>
            <w:gridCol w:w="1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Ultimate parent</w:t>
            </w:r>
          </w:p>
          <w:p w:rsidR="00000000" w:rsidDel="00000000" w:rsidP="00000000" w:rsidRDefault="00000000" w:rsidRPr="00000000" w14:paraId="0000008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Immediate parent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Related with which the taxpayer enters into a transaction for which a preferential treatment is granted or which gives rise to income benefiting from a preferential treatment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Related party with whom the taxpayer enters into a transaction covered by the ruling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Related party making payments to a conduit (directly or indirectly)</w:t>
            </w:r>
          </w:p>
          <w:p w:rsidR="00000000" w:rsidDel="00000000" w:rsidP="00000000" w:rsidRDefault="00000000" w:rsidRPr="00000000" w14:paraId="0000009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Ultimate beneficial owner of income from a conduit arrangement</w:t>
            </w:r>
          </w:p>
          <w:p w:rsidR="00000000" w:rsidDel="00000000" w:rsidP="00000000" w:rsidRDefault="00000000" w:rsidRPr="00000000" w14:paraId="0000009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Head office of permanent establishment (PE) country</w:t>
            </w:r>
          </w:p>
          <w:p w:rsidR="00000000" w:rsidDel="00000000" w:rsidP="00000000" w:rsidRDefault="00000000" w:rsidRPr="00000000" w14:paraId="000000A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9. Details of entities in the recipient jurisdiction.</w:t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150"/>
        <w:gridCol w:w="3417"/>
        <w:gridCol w:w="2338"/>
        <w:tblGridChange w:id="0">
          <w:tblGrid>
            <w:gridCol w:w="445"/>
            <w:gridCol w:w="3150"/>
            <w:gridCol w:w="3417"/>
            <w:gridCol w:w="23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Name of entity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TIN or other tax reference number, where available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Instruction Sheet for the Template on Exchange of Information on Rulings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All fields are mandatory unless otherwise indicated.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1. Ruling reference number, if any.</w:t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The ruling reference number should be provided, if it is available.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2. Identification of the taxpayer and where appropriate the group of companies to which it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belongs.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This box includes all the information necessary to identify the taxpayer and determine its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association with a multinational enterprise (MNE) group. In line with the “Organisation Party”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block from the Common Reporting Standard (CRS) the following fields are required: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taxpayer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identification number (TIN) or other tax reference number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legal name of the entity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(i.e. name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of the taxpayer), and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address.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Within the address field only the “street”, “post code”, “city” and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“country” where the taxpayer is registered are mandatory fields.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Taxpayer’s main business activity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field is optional and intended to be a drop-down menu with a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 of predefined industry sector codes when used in an application that allows for such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functionality.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Name of MNE group, if different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aims to provide information on the association of the taxpayer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with the MNE group to which it belongs. In some cases the name of the subsidiary may differ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from the name of the MNE group making it more difficult to identify the connection between the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taxpayer and the MNE group.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3. Date of issuance.</w:t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The date on which the ruling was issued is to be inserted in the box. This will generally be the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date shown on the ruling or in certain countries where the ruling is held by the tax</w:t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administrations, it could be the date provided on any written confirmation given to the taxpayer.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4. Accounting periods/tax years covered by the ruling.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This box may have a drop-down menu with the accounting periods/tax years covered by the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ruling.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5. Type of ruling given.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These boxes identify the type of ruling that needs to be exchanged. All relevant boxes should be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ticked so if a ruling combines several different elements, for instance, a unilateral advance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pricing arrangement (APA) and an agreement on the tax treatment of a permanent establishment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(PE), then both boxes should be ticked.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6. Further information on the ruling and taxpayer.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These boxes are intended to provide some form of materiality filter to help tax administrations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decide if they want to include further information. These boxes are optional, therefore there is no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obligation to obtain such information.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Transaction amount is the monetary value of the transaction. The entity’s annual turnover is the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volume of business of an enterprise as contained in the profits and loss account. It is usually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measured by reference to gross receipts, or gross amounts due, from the sale of goods or services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by the entity. The profit of the entity is net profit reflecting the difference between gross receipts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from business transactions and deductible business expenses.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Where Box 6 of the template is completed this should include the latest figures available from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either the rulings file or the taxpayer file and should specify the currency, which should be the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currency used in any document made available to the tax administration when it issued the ruling.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For example, the transaction amount would be the latest figure for a specific transaction that is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covered by the ruling.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7. Short summary of the issue covered by the ruling.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 this box the tax administration should provide a short summary of the issue covered in the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ruling and should include a description of the transaction or activity covered by the ruling and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any other information that could help the receiving tax administration risk-assess the potential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base erosion and profit shifting (BEPS) risks posed by the ruling. For example, in the case of a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unilateral APA the summary could set out the type of transaction or income covered and the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transfer pricing methodology agreed. As the summary is intended to be high-level it should not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generally include details of specific provisions in a country’s tax code. The information in the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box should ideally be written in one of the official languages of the Organisation for Economic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Co-operation and Development (OECD) or other language bilaterally agreed. Where this is not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possible this can be provided in the native language of the sending jurisdiction.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8. Reason for exchange with the recipient jurisdiction.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The information provided in this field will tell the recipient jurisdiction why it is receiving the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ruling. The recipient jurisdiction must be one of the relevant jurisdictions under the framework.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The precise reason for the exchange will be indicated by the box ticked.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9. Details of the entities in the recipient jurisdiction.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This box provides further information on any entities to which the ruling relates and that are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resident in the recipient jurisdiction. There is the ability to identify more than one entity where a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Palatino Linotype" w:cs="Palatino Linotype" w:eastAsia="Palatino Linotype" w:hAnsi="Palatino Linotype"/>
          <w:b w:val="1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ruling relates to more than one entity in that jurisdiction. The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name of the entity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and the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address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are mandatory and the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0"/>
          <w:szCs w:val="20"/>
          <w:rtl w:val="0"/>
        </w:rPr>
        <w:t xml:space="preserve">TIN or other tax reference number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should be provided where such</w:t>
      </w:r>
    </w:p>
    <w:p w:rsidR="00000000" w:rsidDel="00000000" w:rsidP="00000000" w:rsidRDefault="00000000" w:rsidRPr="00000000" w14:paraId="00000118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information is available.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MS Gothic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81018" cy="12413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142" l="2305" r="64875" t="17610"/>
                  <a:stretch>
                    <a:fillRect/>
                  </a:stretch>
                </pic:blipFill>
                <pic:spPr>
                  <a:xfrm>
                    <a:off x="0" y="0"/>
                    <a:ext cx="2481018" cy="1241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